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E1" w:rsidRPr="007847A4" w:rsidRDefault="00B248E1" w:rsidP="00AC1682">
      <w:pPr>
        <w:pStyle w:val="Kop3"/>
        <w:rPr>
          <w:sz w:val="22"/>
          <w:szCs w:val="22"/>
        </w:rPr>
      </w:pPr>
      <w:r>
        <w:rPr>
          <w:sz w:val="22"/>
          <w:szCs w:val="22"/>
        </w:rPr>
        <w:t>O</w:t>
      </w:r>
      <w:r w:rsidRPr="007847A4">
        <w:rPr>
          <w:sz w:val="22"/>
          <w:szCs w:val="22"/>
        </w:rPr>
        <w:t xml:space="preserve">vereenkomst financiële bijdrage </w:t>
      </w:r>
      <w:proofErr w:type="spellStart"/>
      <w:r w:rsidRPr="007847A4">
        <w:rPr>
          <w:sz w:val="22"/>
          <w:szCs w:val="22"/>
        </w:rPr>
        <w:t>biowasmachine</w:t>
      </w:r>
      <w:proofErr w:type="spellEnd"/>
      <w:r w:rsidRPr="007847A4">
        <w:rPr>
          <w:sz w:val="22"/>
          <w:szCs w:val="22"/>
        </w:rPr>
        <w:t xml:space="preserve"> Stationsgebied Utrecht</w:t>
      </w:r>
    </w:p>
    <w:p w:rsidR="00B248E1" w:rsidRDefault="00B248E1" w:rsidP="00AC1682">
      <w:pPr>
        <w:rPr>
          <w:rFonts w:ascii="Verdana" w:hAnsi="Verdana" w:cs="Verdana"/>
          <w:sz w:val="20"/>
          <w:szCs w:val="20"/>
          <w:lang w:eastAsia="en-US"/>
        </w:rPr>
      </w:pPr>
    </w:p>
    <w:p w:rsidR="009D62F0" w:rsidRPr="00AA4409" w:rsidRDefault="009D62F0" w:rsidP="00AC1682">
      <w:pPr>
        <w:rPr>
          <w:rFonts w:ascii="Verdana" w:hAnsi="Verdana" w:cs="Verdana"/>
          <w:sz w:val="20"/>
          <w:szCs w:val="20"/>
        </w:rPr>
      </w:pPr>
    </w:p>
    <w:p w:rsidR="00B248E1" w:rsidRPr="00AA4409" w:rsidRDefault="00B248E1" w:rsidP="00AC1682">
      <w:pPr>
        <w:rPr>
          <w:rFonts w:ascii="Verdana" w:hAnsi="Verdana" w:cs="Verdana"/>
          <w:b/>
          <w:bCs/>
          <w:sz w:val="20"/>
          <w:szCs w:val="20"/>
        </w:rPr>
      </w:pPr>
      <w:r w:rsidRPr="00AA4409">
        <w:rPr>
          <w:rFonts w:ascii="Verdana" w:hAnsi="Verdana" w:cs="Verdana"/>
          <w:b/>
          <w:bCs/>
          <w:sz w:val="20"/>
          <w:szCs w:val="20"/>
        </w:rPr>
        <w:t>Partijen</w:t>
      </w:r>
    </w:p>
    <w:p w:rsidR="00B248E1" w:rsidRPr="00AA4409" w:rsidRDefault="00B248E1" w:rsidP="00AC1682">
      <w:pPr>
        <w:rPr>
          <w:rFonts w:ascii="Verdana" w:hAnsi="Verdana" w:cs="Verdana"/>
          <w:sz w:val="20"/>
          <w:szCs w:val="20"/>
        </w:rPr>
      </w:pPr>
    </w:p>
    <w:p w:rsidR="009D62F0" w:rsidRPr="00F54D02" w:rsidRDefault="009D62F0" w:rsidP="009D62F0">
      <w:pPr>
        <w:numPr>
          <w:ilvl w:val="0"/>
          <w:numId w:val="5"/>
        </w:numPr>
        <w:spacing w:before="240" w:after="200" w:line="276" w:lineRule="auto"/>
        <w:ind w:firstLine="0"/>
      </w:pPr>
      <w:bookmarkStart w:id="0" w:name="bldPartij1B"/>
      <w:r w:rsidRPr="00F54D02">
        <w:t xml:space="preserve">de publiekrechtelijke rechtspersoon </w:t>
      </w:r>
      <w:r w:rsidRPr="009D62F0">
        <w:rPr>
          <w:b/>
        </w:rPr>
        <w:t>Gemeente Utrecht</w:t>
      </w:r>
      <w:r w:rsidRPr="00F54D02">
        <w:t>, zetelende te Utrecht aan het Stadsplateau 1</w:t>
      </w:r>
      <w:r>
        <w:t xml:space="preserve"> </w:t>
      </w:r>
      <w:r w:rsidRPr="00F54D02">
        <w:t>(correspondentieadres: Postbus 16200, 3500 CE Utrecht), ingeschreven bij de Kamer van Koophandel onder dossiernummer 30280353, ten deze vertegenwoordigd door [______], handelend ter uitvoering van het besluit van het College van Burgemeester en Wethouders d.d. [_____];</w:t>
      </w:r>
      <w:r>
        <w:t>h</w:t>
      </w:r>
      <w:r w:rsidRPr="00F54D02">
        <w:t>ierna te noemen: "</w:t>
      </w:r>
      <w:r w:rsidRPr="009D62F0">
        <w:rPr>
          <w:b/>
        </w:rPr>
        <w:t>de Gemeente</w:t>
      </w:r>
      <w:r w:rsidRPr="00F54D02">
        <w:t>"</w:t>
      </w:r>
      <w:bookmarkStart w:id="1" w:name="tekst"/>
      <w:bookmarkEnd w:id="0"/>
      <w:bookmarkEnd w:id="1"/>
      <w:r w:rsidRPr="00F54D02">
        <w:t>,</w:t>
      </w:r>
    </w:p>
    <w:p w:rsidR="009D62F0" w:rsidRPr="00F54D02" w:rsidRDefault="009D62F0" w:rsidP="009D62F0">
      <w:r w:rsidRPr="00F54D02">
        <w:t>en</w:t>
      </w:r>
    </w:p>
    <w:p w:rsidR="009D62F0" w:rsidRPr="00F54D02" w:rsidRDefault="009D62F0" w:rsidP="009D62F0">
      <w:pPr>
        <w:numPr>
          <w:ilvl w:val="0"/>
          <w:numId w:val="5"/>
        </w:numPr>
        <w:spacing w:before="240" w:after="200" w:line="276" w:lineRule="auto"/>
        <w:ind w:firstLine="0"/>
      </w:pPr>
      <w:bookmarkStart w:id="2" w:name="bldPartij2B"/>
      <w:r w:rsidRPr="00F54D02">
        <w:t xml:space="preserve">de besloten vennootschap met beperkte aansprakelijkheid </w:t>
      </w:r>
      <w:r w:rsidRPr="0004364A">
        <w:rPr>
          <w:b/>
        </w:rPr>
        <w:t>Jaarbeurs Holding B.V</w:t>
      </w:r>
      <w:r w:rsidRPr="00F54D02">
        <w:t xml:space="preserve">., gevestigd te Utrecht aan het Jaarbeursplein 6, ingeschreven in het Handelsregister van de Kamer van Koophandel </w:t>
      </w:r>
      <w:r>
        <w:t>Midden-Nederland</w:t>
      </w:r>
      <w:r w:rsidRPr="00F54D02">
        <w:t xml:space="preserve"> onder nummer </w:t>
      </w:r>
      <w:r>
        <w:t>30000907</w:t>
      </w:r>
      <w:r w:rsidRPr="00F54D02">
        <w:t xml:space="preserve">, ten deze rechtsgeldig vertegenwoordigd door de heer </w:t>
      </w:r>
      <w:r>
        <w:t>H.W. Broeders</w:t>
      </w:r>
      <w:bookmarkEnd w:id="2"/>
      <w:r>
        <w:t>;</w:t>
      </w:r>
    </w:p>
    <w:p w:rsidR="009D62F0" w:rsidRPr="00F54D02" w:rsidRDefault="009D62F0" w:rsidP="009D62F0">
      <w:pPr>
        <w:numPr>
          <w:ilvl w:val="0"/>
          <w:numId w:val="5"/>
        </w:numPr>
        <w:spacing w:before="240" w:after="200" w:line="276" w:lineRule="auto"/>
        <w:ind w:firstLine="0"/>
      </w:pPr>
      <w:r w:rsidRPr="00F54D02">
        <w:t xml:space="preserve">de besloten vennootschap met beperkte aansprakelijkheid </w:t>
      </w:r>
      <w:r w:rsidRPr="0004364A">
        <w:rPr>
          <w:b/>
        </w:rPr>
        <w:t>Jaarbeurs Vastgoed B.V.</w:t>
      </w:r>
      <w:r w:rsidRPr="0004364A">
        <w:t xml:space="preserve">, </w:t>
      </w:r>
      <w:r w:rsidRPr="00F54D02">
        <w:t xml:space="preserve">gevestigd te Utrecht aan het Jaarbeursplein 6, ingeschreven in het Handelsregister van de Kamer van Koophandel </w:t>
      </w:r>
      <w:r>
        <w:t>Midden-Nederland</w:t>
      </w:r>
      <w:r w:rsidRPr="00F54D02">
        <w:t xml:space="preserve"> onder nummer</w:t>
      </w:r>
      <w:r>
        <w:t xml:space="preserve"> 30150060</w:t>
      </w:r>
      <w:r w:rsidRPr="00F54D02">
        <w:t xml:space="preserve">, ten deze rechtsgeldig vertegenwoordigd door </w:t>
      </w:r>
      <w:r>
        <w:t xml:space="preserve">Jaarbeurs Holding BV als voornoemd onder 2, hierbij rechtsgeldig vertegenwoordigd door </w:t>
      </w:r>
      <w:r w:rsidRPr="00F54D02">
        <w:t xml:space="preserve">de heer </w:t>
      </w:r>
      <w:r>
        <w:t>H.W. Broeders</w:t>
      </w:r>
      <w:r w:rsidRPr="00F54D02">
        <w:t xml:space="preserve">; </w:t>
      </w:r>
    </w:p>
    <w:p w:rsidR="00B248E1" w:rsidRDefault="00B248E1" w:rsidP="009D62F0"/>
    <w:p w:rsidR="009D62F0" w:rsidRPr="009D62F0" w:rsidRDefault="009D62F0" w:rsidP="009D62F0"/>
    <w:p w:rsidR="00B248E1" w:rsidRDefault="00B248E1" w:rsidP="009D62F0">
      <w:pPr>
        <w:rPr>
          <w:rFonts w:ascii="Verdana" w:hAnsi="Verdana" w:cs="Verdana"/>
          <w:b/>
          <w:bCs/>
          <w:sz w:val="20"/>
          <w:szCs w:val="20"/>
        </w:rPr>
      </w:pPr>
      <w:r w:rsidRPr="009D62F0">
        <w:rPr>
          <w:rFonts w:ascii="Verdana" w:hAnsi="Verdana" w:cs="Verdana"/>
          <w:b/>
          <w:bCs/>
          <w:sz w:val="20"/>
          <w:szCs w:val="20"/>
        </w:rPr>
        <w:t>Overwegende dat:</w:t>
      </w:r>
    </w:p>
    <w:p w:rsidR="009D62F0" w:rsidRPr="009D62F0" w:rsidRDefault="009D62F0" w:rsidP="009D62F0">
      <w:pPr>
        <w:rPr>
          <w:rFonts w:ascii="Verdana" w:hAnsi="Verdana" w:cs="Verdana"/>
          <w:b/>
          <w:bCs/>
          <w:sz w:val="20"/>
          <w:szCs w:val="20"/>
        </w:rPr>
      </w:pPr>
    </w:p>
    <w:p w:rsidR="00B248E1" w:rsidRPr="009D62F0" w:rsidRDefault="00B248E1" w:rsidP="009D62F0">
      <w:pPr>
        <w:pStyle w:val="Lijstalinea"/>
        <w:numPr>
          <w:ilvl w:val="0"/>
          <w:numId w:val="6"/>
        </w:numPr>
        <w:ind w:left="720"/>
        <w:rPr>
          <w:rFonts w:ascii="Lucida Sans Unicode" w:eastAsia="Times New Roman" w:hAnsi="Lucida Sans Unicode" w:cs="Lucida Sans Unicode"/>
          <w:sz w:val="18"/>
          <w:szCs w:val="18"/>
          <w:lang w:val="nl-NL" w:eastAsia="nl-NL"/>
        </w:rPr>
      </w:pPr>
      <w:r w:rsidRPr="009D62F0">
        <w:rPr>
          <w:rFonts w:ascii="Lucida Sans Unicode" w:eastAsia="Times New Roman" w:hAnsi="Lucida Sans Unicode" w:cs="Lucida Sans Unicode"/>
          <w:sz w:val="18"/>
          <w:szCs w:val="18"/>
          <w:lang w:val="nl-NL" w:eastAsia="nl-NL"/>
        </w:rPr>
        <w:t>op 20 januari 2010 door het college aan de projectorganisatie stationsgebied een beschikking (bijlage 1) is verleend voor het saneringsplan opgesteld door Arcadis en gedateerd op 31 juli 2009</w:t>
      </w:r>
      <w:r w:rsidR="009D62F0">
        <w:rPr>
          <w:rFonts w:ascii="Lucida Sans Unicode" w:eastAsia="Times New Roman" w:hAnsi="Lucida Sans Unicode" w:cs="Lucida Sans Unicode"/>
          <w:sz w:val="18"/>
          <w:szCs w:val="18"/>
          <w:lang w:val="nl-NL" w:eastAsia="nl-NL"/>
        </w:rPr>
        <w:t xml:space="preserve">, </w:t>
      </w:r>
      <w:r w:rsidRPr="009D62F0">
        <w:rPr>
          <w:rFonts w:ascii="Lucida Sans Unicode" w:eastAsia="Times New Roman" w:hAnsi="Lucida Sans Unicode" w:cs="Lucida Sans Unicode"/>
          <w:sz w:val="18"/>
          <w:szCs w:val="18"/>
          <w:lang w:val="nl-NL" w:eastAsia="nl-NL"/>
        </w:rPr>
        <w:t xml:space="preserve"> waardoor verplaatsing van vluchtige </w:t>
      </w:r>
      <w:proofErr w:type="spellStart"/>
      <w:r w:rsidRPr="009D62F0">
        <w:rPr>
          <w:rFonts w:ascii="Lucida Sans Unicode" w:eastAsia="Times New Roman" w:hAnsi="Lucida Sans Unicode" w:cs="Lucida Sans Unicode"/>
          <w:sz w:val="18"/>
          <w:szCs w:val="18"/>
          <w:lang w:val="nl-NL" w:eastAsia="nl-NL"/>
        </w:rPr>
        <w:t>alifatische</w:t>
      </w:r>
      <w:proofErr w:type="spellEnd"/>
      <w:r w:rsidRPr="009D62F0">
        <w:rPr>
          <w:rFonts w:ascii="Lucida Sans Unicode" w:eastAsia="Times New Roman" w:hAnsi="Lucida Sans Unicode" w:cs="Lucida Sans Unicode"/>
          <w:sz w:val="18"/>
          <w:szCs w:val="18"/>
          <w:lang w:val="nl-NL" w:eastAsia="nl-NL"/>
        </w:rPr>
        <w:t xml:space="preserve"> chloorkoolwaterstoffen (</w:t>
      </w:r>
      <w:proofErr w:type="spellStart"/>
      <w:r w:rsidRPr="009D62F0">
        <w:rPr>
          <w:rFonts w:ascii="Lucida Sans Unicode" w:eastAsia="Times New Roman" w:hAnsi="Lucida Sans Unicode" w:cs="Lucida Sans Unicode"/>
          <w:sz w:val="18"/>
          <w:szCs w:val="18"/>
          <w:lang w:val="nl-NL" w:eastAsia="nl-NL"/>
        </w:rPr>
        <w:t>VOCl</w:t>
      </w:r>
      <w:proofErr w:type="spellEnd"/>
      <w:r w:rsidRPr="009D62F0">
        <w:rPr>
          <w:rFonts w:ascii="Lucida Sans Unicode" w:eastAsia="Times New Roman" w:hAnsi="Lucida Sans Unicode" w:cs="Lucida Sans Unicode"/>
          <w:sz w:val="18"/>
          <w:szCs w:val="18"/>
          <w:lang w:val="nl-NL" w:eastAsia="nl-NL"/>
        </w:rPr>
        <w:t xml:space="preserve">) in het beïnvloedingsgebied van het bouw- en Warmte Koude Opslag (WKO) programma van het stationsgebied mogelijk is (hierna: de </w:t>
      </w:r>
      <w:proofErr w:type="spellStart"/>
      <w:r w:rsidRPr="009D62F0">
        <w:rPr>
          <w:rFonts w:ascii="Lucida Sans Unicode" w:eastAsia="Times New Roman" w:hAnsi="Lucida Sans Unicode" w:cs="Lucida Sans Unicode"/>
          <w:sz w:val="18"/>
          <w:szCs w:val="18"/>
          <w:lang w:val="nl-NL" w:eastAsia="nl-NL"/>
        </w:rPr>
        <w:t>Biowasmachine</w:t>
      </w:r>
      <w:proofErr w:type="spellEnd"/>
      <w:r w:rsidRPr="009D62F0">
        <w:rPr>
          <w:rFonts w:ascii="Lucida Sans Unicode" w:eastAsia="Times New Roman" w:hAnsi="Lucida Sans Unicode" w:cs="Lucida Sans Unicode"/>
          <w:sz w:val="18"/>
          <w:szCs w:val="18"/>
          <w:lang w:val="nl-NL" w:eastAsia="nl-NL"/>
        </w:rPr>
        <w:t>);</w:t>
      </w:r>
    </w:p>
    <w:p w:rsidR="00B248E1" w:rsidRPr="009D62F0" w:rsidRDefault="009B3E7C" w:rsidP="009D62F0">
      <w:pPr>
        <w:pStyle w:val="Lijstalinea"/>
        <w:numPr>
          <w:ilvl w:val="0"/>
          <w:numId w:val="6"/>
        </w:numPr>
        <w:ind w:left="720"/>
        <w:rPr>
          <w:rFonts w:ascii="Lucida Sans Unicode" w:eastAsia="Times New Roman" w:hAnsi="Lucida Sans Unicode" w:cs="Lucida Sans Unicode"/>
          <w:sz w:val="18"/>
          <w:szCs w:val="18"/>
          <w:lang w:val="nl-NL" w:eastAsia="nl-NL"/>
        </w:rPr>
      </w:pPr>
      <w:r w:rsidRPr="009D62F0">
        <w:rPr>
          <w:rFonts w:ascii="Lucida Sans Unicode" w:eastAsia="Times New Roman" w:hAnsi="Lucida Sans Unicode" w:cs="Lucida Sans Unicode"/>
          <w:sz w:val="18"/>
          <w:szCs w:val="18"/>
          <w:lang w:val="nl-NL" w:eastAsia="nl-NL"/>
        </w:rPr>
        <w:t>d</w:t>
      </w:r>
      <w:r w:rsidR="00B248E1" w:rsidRPr="009D62F0">
        <w:rPr>
          <w:rFonts w:ascii="Lucida Sans Unicode" w:eastAsia="Times New Roman" w:hAnsi="Lucida Sans Unicode" w:cs="Lucida Sans Unicode"/>
          <w:sz w:val="18"/>
          <w:szCs w:val="18"/>
          <w:lang w:val="nl-NL" w:eastAsia="nl-NL"/>
        </w:rPr>
        <w:t xml:space="preserve">e Gemeente op basis van de mogelijkheid van de Crisis- en Herstelwet een beleidsregel heeft vastgesteld met het oogmerk om in het bij </w:t>
      </w:r>
      <w:proofErr w:type="spellStart"/>
      <w:r w:rsidR="00B248E1" w:rsidRPr="009D62F0">
        <w:rPr>
          <w:rFonts w:ascii="Lucida Sans Unicode" w:eastAsia="Times New Roman" w:hAnsi="Lucida Sans Unicode" w:cs="Lucida Sans Unicode"/>
          <w:sz w:val="18"/>
          <w:szCs w:val="18"/>
          <w:lang w:val="nl-NL" w:eastAsia="nl-NL"/>
        </w:rPr>
        <w:t>Amvb</w:t>
      </w:r>
      <w:proofErr w:type="spellEnd"/>
      <w:r w:rsidR="00B248E1" w:rsidRPr="009D62F0">
        <w:rPr>
          <w:rFonts w:ascii="Lucida Sans Unicode" w:eastAsia="Times New Roman" w:hAnsi="Lucida Sans Unicode" w:cs="Lucida Sans Unicode"/>
          <w:sz w:val="18"/>
          <w:szCs w:val="18"/>
          <w:lang w:val="nl-NL" w:eastAsia="nl-NL"/>
        </w:rPr>
        <w:t xml:space="preserve"> aangewezen gebied af te wijken van diverse bepalingen van de Wet bodembescherming waaronder het op een innovatieve wijze omgegaan met de in dit gebied aanwezige andere mobiele verontreinigingen dan </w:t>
      </w:r>
      <w:proofErr w:type="spellStart"/>
      <w:r w:rsidR="00B248E1" w:rsidRPr="009D62F0">
        <w:rPr>
          <w:rFonts w:ascii="Lucida Sans Unicode" w:eastAsia="Times New Roman" w:hAnsi="Lucida Sans Unicode" w:cs="Lucida Sans Unicode"/>
          <w:sz w:val="18"/>
          <w:szCs w:val="18"/>
          <w:lang w:val="nl-NL" w:eastAsia="nl-NL"/>
        </w:rPr>
        <w:t>VOCl</w:t>
      </w:r>
      <w:proofErr w:type="spellEnd"/>
      <w:r w:rsidR="00B248E1" w:rsidRPr="009D62F0">
        <w:rPr>
          <w:rFonts w:ascii="Lucida Sans Unicode" w:eastAsia="Times New Roman" w:hAnsi="Lucida Sans Unicode" w:cs="Lucida Sans Unicode"/>
          <w:sz w:val="18"/>
          <w:szCs w:val="18"/>
          <w:lang w:val="nl-NL" w:eastAsia="nl-NL"/>
        </w:rPr>
        <w:t>;</w:t>
      </w:r>
    </w:p>
    <w:p w:rsidR="00B248E1" w:rsidRPr="009D62F0" w:rsidRDefault="009B3E7C" w:rsidP="009D62F0">
      <w:pPr>
        <w:pStyle w:val="Lijstalinea"/>
        <w:numPr>
          <w:ilvl w:val="0"/>
          <w:numId w:val="6"/>
        </w:numPr>
        <w:ind w:left="720"/>
        <w:rPr>
          <w:rFonts w:ascii="Lucida Sans Unicode" w:eastAsia="Times New Roman" w:hAnsi="Lucida Sans Unicode" w:cs="Lucida Sans Unicode"/>
          <w:sz w:val="18"/>
          <w:szCs w:val="18"/>
          <w:lang w:val="nl-NL" w:eastAsia="nl-NL"/>
        </w:rPr>
      </w:pPr>
      <w:r w:rsidRPr="009D62F0">
        <w:rPr>
          <w:rFonts w:ascii="Lucida Sans Unicode" w:eastAsia="Times New Roman" w:hAnsi="Lucida Sans Unicode" w:cs="Lucida Sans Unicode"/>
          <w:sz w:val="18"/>
          <w:szCs w:val="18"/>
          <w:lang w:val="nl-NL" w:eastAsia="nl-NL"/>
        </w:rPr>
        <w:t>d</w:t>
      </w:r>
      <w:r w:rsidR="00B248E1" w:rsidRPr="009D62F0">
        <w:rPr>
          <w:rFonts w:ascii="Lucida Sans Unicode" w:eastAsia="Times New Roman" w:hAnsi="Lucida Sans Unicode" w:cs="Lucida Sans Unicode"/>
          <w:sz w:val="18"/>
          <w:szCs w:val="18"/>
          <w:lang w:val="nl-NL" w:eastAsia="nl-NL"/>
        </w:rPr>
        <w:t>e projector</w:t>
      </w:r>
      <w:r w:rsidRPr="009D62F0">
        <w:rPr>
          <w:rFonts w:ascii="Lucida Sans Unicode" w:eastAsia="Times New Roman" w:hAnsi="Lucida Sans Unicode" w:cs="Lucida Sans Unicode"/>
          <w:sz w:val="18"/>
          <w:szCs w:val="18"/>
          <w:lang w:val="nl-NL" w:eastAsia="nl-NL"/>
        </w:rPr>
        <w:t>ganisatie stationsgebied van de</w:t>
      </w:r>
      <w:r w:rsidR="00F556E1">
        <w:rPr>
          <w:rFonts w:ascii="Lucida Sans Unicode" w:eastAsia="Times New Roman" w:hAnsi="Lucida Sans Unicode" w:cs="Lucida Sans Unicode"/>
          <w:sz w:val="18"/>
          <w:szCs w:val="18"/>
          <w:lang w:val="nl-NL" w:eastAsia="nl-NL"/>
        </w:rPr>
        <w:t xml:space="preserve"> </w:t>
      </w:r>
      <w:r w:rsidR="00B248E1" w:rsidRPr="009D62F0">
        <w:rPr>
          <w:rFonts w:ascii="Lucida Sans Unicode" w:eastAsia="Times New Roman" w:hAnsi="Lucida Sans Unicode" w:cs="Lucida Sans Unicode"/>
          <w:sz w:val="18"/>
          <w:szCs w:val="18"/>
          <w:lang w:val="nl-NL" w:eastAsia="nl-NL"/>
        </w:rPr>
        <w:t>Gemeente</w:t>
      </w:r>
      <w:r w:rsidRPr="009D62F0">
        <w:rPr>
          <w:rFonts w:ascii="Lucida Sans Unicode" w:eastAsia="Times New Roman" w:hAnsi="Lucida Sans Unicode" w:cs="Lucida Sans Unicode"/>
          <w:sz w:val="18"/>
          <w:szCs w:val="18"/>
          <w:lang w:val="nl-NL" w:eastAsia="nl-NL"/>
        </w:rPr>
        <w:t xml:space="preserve"> </w:t>
      </w:r>
      <w:proofErr w:type="spellStart"/>
      <w:r w:rsidR="00B248E1" w:rsidRPr="009D62F0">
        <w:rPr>
          <w:rFonts w:ascii="Lucida Sans Unicode" w:eastAsia="Times New Roman" w:hAnsi="Lucida Sans Unicode" w:cs="Lucida Sans Unicode"/>
          <w:sz w:val="18"/>
          <w:szCs w:val="18"/>
          <w:lang w:val="nl-NL" w:eastAsia="nl-NL"/>
        </w:rPr>
        <w:t>beschikki</w:t>
      </w:r>
      <w:r w:rsidRPr="009D62F0">
        <w:rPr>
          <w:rFonts w:ascii="Lucida Sans Unicode" w:eastAsia="Times New Roman" w:hAnsi="Lucida Sans Unicode" w:cs="Lucida Sans Unicode"/>
          <w:sz w:val="18"/>
          <w:szCs w:val="18"/>
          <w:lang w:val="nl-NL" w:eastAsia="nl-NL"/>
        </w:rPr>
        <w:t>nghouder</w:t>
      </w:r>
      <w:proofErr w:type="spellEnd"/>
      <w:r w:rsidRPr="009D62F0">
        <w:rPr>
          <w:rFonts w:ascii="Lucida Sans Unicode" w:eastAsia="Times New Roman" w:hAnsi="Lucida Sans Unicode" w:cs="Lucida Sans Unicode"/>
          <w:sz w:val="18"/>
          <w:szCs w:val="18"/>
          <w:lang w:val="nl-NL" w:eastAsia="nl-NL"/>
        </w:rPr>
        <w:t xml:space="preserve"> </w:t>
      </w:r>
      <w:r w:rsidR="00B248E1" w:rsidRPr="009D62F0">
        <w:rPr>
          <w:rFonts w:ascii="Lucida Sans Unicode" w:eastAsia="Times New Roman" w:hAnsi="Lucida Sans Unicode" w:cs="Lucida Sans Unicode"/>
          <w:sz w:val="18"/>
          <w:szCs w:val="18"/>
          <w:lang w:val="nl-NL" w:eastAsia="nl-NL"/>
        </w:rPr>
        <w:t xml:space="preserve">is van de </w:t>
      </w:r>
      <w:proofErr w:type="spellStart"/>
      <w:r w:rsidR="00B248E1" w:rsidRPr="009D62F0">
        <w:rPr>
          <w:rFonts w:ascii="Lucida Sans Unicode" w:eastAsia="Times New Roman" w:hAnsi="Lucida Sans Unicode" w:cs="Lucida Sans Unicode"/>
          <w:sz w:val="18"/>
          <w:szCs w:val="18"/>
          <w:lang w:val="nl-NL" w:eastAsia="nl-NL"/>
        </w:rPr>
        <w:t>Biowasmachine</w:t>
      </w:r>
      <w:proofErr w:type="spellEnd"/>
      <w:r w:rsidR="00015E2A" w:rsidRPr="009D62F0">
        <w:rPr>
          <w:rFonts w:ascii="Lucida Sans Unicode" w:eastAsia="Times New Roman" w:hAnsi="Lucida Sans Unicode" w:cs="Lucida Sans Unicode"/>
          <w:sz w:val="18"/>
          <w:szCs w:val="18"/>
          <w:lang w:val="nl-NL" w:eastAsia="nl-NL"/>
        </w:rPr>
        <w:t xml:space="preserve"> </w:t>
      </w:r>
      <w:r w:rsidR="00B248E1" w:rsidRPr="009D62F0">
        <w:rPr>
          <w:rFonts w:ascii="Lucida Sans Unicode" w:eastAsia="Times New Roman" w:hAnsi="Lucida Sans Unicode" w:cs="Lucida Sans Unicode"/>
          <w:sz w:val="18"/>
          <w:szCs w:val="18"/>
          <w:lang w:val="nl-NL" w:eastAsia="nl-NL"/>
        </w:rPr>
        <w:t xml:space="preserve">en bereid is om tegen vergoeding medegebruik van de </w:t>
      </w:r>
      <w:proofErr w:type="spellStart"/>
      <w:r w:rsidR="00F556E1">
        <w:rPr>
          <w:rFonts w:ascii="Lucida Sans Unicode" w:eastAsia="Times New Roman" w:hAnsi="Lucida Sans Unicode" w:cs="Lucida Sans Unicode"/>
          <w:sz w:val="18"/>
          <w:szCs w:val="18"/>
          <w:lang w:val="nl-NL" w:eastAsia="nl-NL"/>
        </w:rPr>
        <w:t>B</w:t>
      </w:r>
      <w:r w:rsidR="00B248E1" w:rsidRPr="009D62F0">
        <w:rPr>
          <w:rFonts w:ascii="Lucida Sans Unicode" w:eastAsia="Times New Roman" w:hAnsi="Lucida Sans Unicode" w:cs="Lucida Sans Unicode"/>
          <w:sz w:val="18"/>
          <w:szCs w:val="18"/>
          <w:lang w:val="nl-NL" w:eastAsia="nl-NL"/>
        </w:rPr>
        <w:t>iowasmachine</w:t>
      </w:r>
      <w:proofErr w:type="spellEnd"/>
      <w:r w:rsidR="00B248E1" w:rsidRPr="009D62F0">
        <w:rPr>
          <w:rFonts w:ascii="Lucida Sans Unicode" w:eastAsia="Times New Roman" w:hAnsi="Lucida Sans Unicode" w:cs="Lucida Sans Unicode"/>
          <w:sz w:val="18"/>
          <w:szCs w:val="18"/>
          <w:lang w:val="nl-NL" w:eastAsia="nl-NL"/>
        </w:rPr>
        <w:t xml:space="preserve"> toe te staan zodat in de meeste gevallen geen aparte (deel)saneringsplannen noodzakelijk zullen zijn;</w:t>
      </w:r>
    </w:p>
    <w:p w:rsidR="009D62F0" w:rsidRDefault="009D62F0" w:rsidP="009D62F0">
      <w:pPr>
        <w:rPr>
          <w:rFonts w:ascii="Verdana" w:hAnsi="Verdana" w:cs="Verdana"/>
          <w:b/>
          <w:bCs/>
          <w:sz w:val="20"/>
          <w:szCs w:val="20"/>
        </w:rPr>
      </w:pPr>
    </w:p>
    <w:p w:rsidR="00B248E1" w:rsidRPr="009D62F0" w:rsidRDefault="00B248E1" w:rsidP="009D62F0">
      <w:pPr>
        <w:rPr>
          <w:rFonts w:ascii="Verdana" w:hAnsi="Verdana" w:cs="Verdana"/>
          <w:b/>
          <w:bCs/>
          <w:sz w:val="20"/>
          <w:szCs w:val="20"/>
        </w:rPr>
      </w:pPr>
      <w:r w:rsidRPr="009D62F0">
        <w:rPr>
          <w:rFonts w:ascii="Verdana" w:hAnsi="Verdana" w:cs="Verdana"/>
          <w:b/>
          <w:bCs/>
          <w:sz w:val="20"/>
          <w:szCs w:val="20"/>
        </w:rPr>
        <w:t>zijn partijen overeengekomen</w:t>
      </w:r>
    </w:p>
    <w:p w:rsidR="009D62F0" w:rsidRDefault="009D62F0">
      <w:pPr>
        <w:spacing w:line="240" w:lineRule="auto"/>
      </w:pPr>
      <w:r>
        <w:br w:type="page"/>
      </w:r>
    </w:p>
    <w:p w:rsidR="00B248E1" w:rsidRPr="009D62F0" w:rsidRDefault="00B248E1" w:rsidP="009D62F0">
      <w:pPr>
        <w:ind w:firstLine="360"/>
      </w:pPr>
      <w:r w:rsidRPr="009D62F0">
        <w:lastRenderedPageBreak/>
        <w:t>Artikel 1 Financiële bijdrage</w:t>
      </w:r>
    </w:p>
    <w:p w:rsidR="00B248E1" w:rsidRPr="009D62F0" w:rsidRDefault="00B248E1" w:rsidP="009D62F0">
      <w:pPr>
        <w:ind w:firstLine="360"/>
      </w:pPr>
    </w:p>
    <w:p w:rsidR="00B248E1" w:rsidRPr="009D62F0" w:rsidRDefault="00B248E1" w:rsidP="009D62F0">
      <w:pPr>
        <w:ind w:left="360"/>
      </w:pPr>
      <w:r w:rsidRPr="009D62F0">
        <w:t xml:space="preserve">1.1. De Gemeente heeft ten behoeve van het opstellen van het saneringsplan </w:t>
      </w:r>
      <w:proofErr w:type="spellStart"/>
      <w:r w:rsidR="00F556E1">
        <w:t>B</w:t>
      </w:r>
      <w:r w:rsidRPr="009D62F0">
        <w:t>iowasmachine</w:t>
      </w:r>
      <w:proofErr w:type="spellEnd"/>
      <w:r w:rsidRPr="009D62F0">
        <w:t xml:space="preserve">, en het aanleggen van het meetnet en het verrichten van de nulmeting, tot op heden € 2 miljoen aan kosten gemaakt. Partijen komen overeen dat </w:t>
      </w:r>
      <w:r w:rsidR="009B3E7C" w:rsidRPr="009D62F0">
        <w:t>Jaarbeurs</w:t>
      </w:r>
      <w:r w:rsidRPr="009D62F0">
        <w:t xml:space="preserve"> een bijdrage levert aan de gemaakte kosten, te weten de in het tweede lid voor iedere partij bedoelde lumpsum-bijdrage, als maximale bijdrage aan de gemeente te vergoeden. Dit houdt in dat </w:t>
      </w:r>
      <w:bookmarkStart w:id="3" w:name="OLE_LINK8"/>
      <w:r w:rsidRPr="009D62F0">
        <w:t xml:space="preserve">uitvoeringskosten in het kader van de uitvoering van de </w:t>
      </w:r>
      <w:proofErr w:type="spellStart"/>
      <w:r w:rsidRPr="009D62F0">
        <w:t>Biowasmachine</w:t>
      </w:r>
      <w:bookmarkEnd w:id="3"/>
      <w:proofErr w:type="spellEnd"/>
      <w:r w:rsidR="004D0C58" w:rsidRPr="009D62F0">
        <w:t xml:space="preserve"> </w:t>
      </w:r>
      <w:r w:rsidRPr="009D62F0">
        <w:t xml:space="preserve">voor rekening en risico van de gemeente komen. Voor rekening en risico van de gemeente houdt in dat gemeente behoudens het gestelde in deze overeenkomst en/of hetgeen tussen partijen nader zal worden overeengekomen in de opstalovereenkomst, geen kostenbijdrage van partijen meer zal verlangen ten aanzien van het medegebruik van de </w:t>
      </w:r>
      <w:proofErr w:type="spellStart"/>
      <w:r w:rsidRPr="009D62F0">
        <w:t>Biowasmachine</w:t>
      </w:r>
      <w:proofErr w:type="spellEnd"/>
      <w:r w:rsidRPr="009D62F0">
        <w:t xml:space="preserve">, tenzij sprake is van een situatie als bedoeld in artikel 1.2b van deze overeenkomst. De bijdrage van lid 2 is bepaald op basis van de duur van het gebruik van de beschikking. </w:t>
      </w:r>
    </w:p>
    <w:p w:rsidR="00B248E1" w:rsidRPr="009D62F0" w:rsidRDefault="00B248E1" w:rsidP="009D62F0">
      <w:pPr>
        <w:ind w:firstLine="360"/>
      </w:pPr>
    </w:p>
    <w:p w:rsidR="00B248E1" w:rsidRPr="009D62F0" w:rsidRDefault="00B248E1" w:rsidP="009D62F0">
      <w:pPr>
        <w:ind w:left="360"/>
      </w:pPr>
      <w:r w:rsidRPr="009D62F0">
        <w:t>1.2a  Partijen zijn onderstaande verdeling van de in artikel 1.1. bedoelde bijdrage overeengekomen:</w:t>
      </w:r>
    </w:p>
    <w:p w:rsidR="00B248E1" w:rsidRPr="009D62F0" w:rsidRDefault="00BA1241" w:rsidP="009D62F0">
      <w:pPr>
        <w:ind w:left="360"/>
      </w:pPr>
      <w:r w:rsidRPr="009D62F0">
        <w:t>- € 30</w:t>
      </w:r>
      <w:r w:rsidR="00B248E1" w:rsidRPr="009D62F0">
        <w:t xml:space="preserve">0.000,- (exclusief BTW) voor het WKO-systeem </w:t>
      </w:r>
      <w:bookmarkStart w:id="4" w:name="OLE_LINK11"/>
      <w:bookmarkStart w:id="5" w:name="OLE_LINK12"/>
      <w:r w:rsidR="00B248E1" w:rsidRPr="009D62F0">
        <w:t xml:space="preserve">(benaming)  </w:t>
      </w:r>
      <w:bookmarkEnd w:id="4"/>
      <w:bookmarkEnd w:id="5"/>
      <w:r w:rsidR="00B248E1" w:rsidRPr="009D62F0">
        <w:t xml:space="preserve">(bronlocaties tot en met ) </w:t>
      </w:r>
      <w:r w:rsidR="00B248E1" w:rsidRPr="009D62F0">
        <w:br/>
        <w:t>1.2b De verschuldigde bijdrage als bedoeld in het voorgaande artikellid wordt</w:t>
      </w:r>
      <w:r w:rsidR="009B3E7C" w:rsidRPr="009D62F0">
        <w:t xml:space="preserve"> vermeerderd met BTW en zal Jaarbeurs</w:t>
      </w:r>
      <w:r w:rsidR="00B248E1" w:rsidRPr="009D62F0">
        <w:t xml:space="preserve"> binnen dertig dagen na factuurdatum voldoen op basis van een door de Gemeente verstrekte factuur. </w:t>
      </w:r>
    </w:p>
    <w:p w:rsidR="008857D2" w:rsidRPr="009D62F0" w:rsidRDefault="008857D2" w:rsidP="009D62F0">
      <w:pPr>
        <w:ind w:firstLine="360"/>
      </w:pPr>
    </w:p>
    <w:p w:rsidR="00B248E1" w:rsidRPr="009D62F0" w:rsidRDefault="00B248E1" w:rsidP="009D62F0">
      <w:pPr>
        <w:ind w:left="360"/>
      </w:pPr>
      <w:r w:rsidRPr="009D62F0">
        <w:t xml:space="preserve">1.3 </w:t>
      </w:r>
      <w:r w:rsidR="009B3E7C" w:rsidRPr="009D62F0">
        <w:t xml:space="preserve">Indien Jaarbeurs de in </w:t>
      </w:r>
      <w:r w:rsidRPr="009D62F0">
        <w:t xml:space="preserve">artikel 1.2 </w:t>
      </w:r>
      <w:r w:rsidR="009B3E7C" w:rsidRPr="009D62F0">
        <w:t xml:space="preserve">vastgelegde bijdrage </w:t>
      </w:r>
      <w:r w:rsidRPr="009D62F0">
        <w:t xml:space="preserve">tijdig heeft voldaan </w:t>
      </w:r>
      <w:r w:rsidR="009B3E7C" w:rsidRPr="009D62F0">
        <w:t xml:space="preserve">zal Gemeente </w:t>
      </w:r>
      <w:r w:rsidRPr="009D62F0">
        <w:t xml:space="preserve">verklaren afstand te doen van haar bevoegdheid om de kosten van onderzoek en sanering van de VOCL-verontreiniging in het Diepe grondwater te verhalen, zulks mede namens de Staat (artikel 75 lid 6 Wet bodembescherming in verbinding met Besluit mandaat, volmacht en machtiging artikel 75 lid 7 Wet bodembescherming) en op basis van een aan die partij te zenden </w:t>
      </w:r>
      <w:proofErr w:type="spellStart"/>
      <w:r w:rsidRPr="009D62F0">
        <w:t>afstandverklaring</w:t>
      </w:r>
      <w:proofErr w:type="spellEnd"/>
      <w:r w:rsidRPr="009D62F0">
        <w:t>.</w:t>
      </w:r>
    </w:p>
    <w:p w:rsidR="00B248E1" w:rsidRPr="009D62F0" w:rsidRDefault="00B248E1" w:rsidP="009D62F0">
      <w:pPr>
        <w:ind w:firstLine="360"/>
      </w:pPr>
    </w:p>
    <w:p w:rsidR="00B248E1" w:rsidRPr="009D62F0" w:rsidRDefault="008857D2" w:rsidP="009D62F0">
      <w:pPr>
        <w:ind w:left="360"/>
      </w:pPr>
      <w:r w:rsidRPr="009D62F0">
        <w:t>1.4</w:t>
      </w:r>
      <w:r w:rsidR="00B248E1" w:rsidRPr="009D62F0">
        <w:t xml:space="preserve"> Overdracht van rechten en plichten van </w:t>
      </w:r>
      <w:r w:rsidRPr="009D62F0">
        <w:t>Jaarbeurs</w:t>
      </w:r>
      <w:r w:rsidR="00B248E1" w:rsidRPr="009D62F0">
        <w:t xml:space="preserve"> zoals vastgelegd in deze overeenko</w:t>
      </w:r>
      <w:r w:rsidRPr="009D62F0">
        <w:t xml:space="preserve">mst aan derden </w:t>
      </w:r>
      <w:r w:rsidR="00B248E1" w:rsidRPr="009D62F0">
        <w:t xml:space="preserve">kan </w:t>
      </w:r>
      <w:r w:rsidR="004D0C58" w:rsidRPr="009D62F0">
        <w:t xml:space="preserve">uitsluitend </w:t>
      </w:r>
      <w:r w:rsidR="00B248E1" w:rsidRPr="009D62F0">
        <w:t>plaatsvinden met schriftelijke toestemming van de Gemeente, waarbij in ieder geval als voorwaarde zal gelden, dat de afspraken uit deze overeenkomst en een verleend bruikleenrecht of recht van opstal onverkort dienen te worden nagekomen door de rechtsopvolger en diens rechtsopvolgers. De</w:t>
      </w:r>
      <w:r w:rsidRPr="009D62F0">
        <w:t xml:space="preserve"> Gemeente kan voorts verlangen </w:t>
      </w:r>
      <w:r w:rsidR="00B248E1" w:rsidRPr="009D62F0">
        <w:t xml:space="preserve">dat </w:t>
      </w:r>
      <w:r w:rsidRPr="009D62F0">
        <w:t xml:space="preserve">eventuele </w:t>
      </w:r>
      <w:r w:rsidR="00B248E1" w:rsidRPr="009D62F0">
        <w:t xml:space="preserve">nadere afspraken door partijen gemaakt ook van toepassing zullen zijn op de betreffende rechtsopvolger en diens rechtsopvolgers en door deze dienen te worden aanvaard. </w:t>
      </w:r>
      <w:r w:rsidR="00B248E1" w:rsidRPr="009D62F0">
        <w:br/>
      </w:r>
    </w:p>
    <w:p w:rsidR="00B248E1" w:rsidRPr="009D62F0" w:rsidRDefault="00B248E1" w:rsidP="009D62F0">
      <w:pPr>
        <w:ind w:firstLine="360"/>
      </w:pPr>
      <w:r w:rsidRPr="009D62F0">
        <w:t>Artikel 2 Recht</w:t>
      </w:r>
    </w:p>
    <w:p w:rsidR="00B248E1" w:rsidRPr="009D62F0" w:rsidRDefault="00B248E1" w:rsidP="009D62F0">
      <w:pPr>
        <w:ind w:firstLine="360"/>
      </w:pPr>
    </w:p>
    <w:p w:rsidR="00B248E1" w:rsidRPr="009D62F0" w:rsidRDefault="00B248E1" w:rsidP="009D62F0">
      <w:pPr>
        <w:ind w:left="360"/>
      </w:pPr>
      <w:r w:rsidRPr="009D62F0">
        <w:t xml:space="preserve">2.1 </w:t>
      </w:r>
      <w:bookmarkStart w:id="6" w:name="OLE_LINK1"/>
      <w:r w:rsidR="008857D2" w:rsidRPr="009D62F0">
        <w:t>Indien Jaarbeurs de in</w:t>
      </w:r>
      <w:r w:rsidRPr="009D62F0">
        <w:t xml:space="preserve"> artikel 1 lid 2</w:t>
      </w:r>
      <w:r w:rsidR="008857D2" w:rsidRPr="009D62F0">
        <w:t xml:space="preserve"> bedoelde financiële bijdrage</w:t>
      </w:r>
      <w:r w:rsidRPr="009D62F0">
        <w:t xml:space="preserve"> heeft betaald </w:t>
      </w:r>
      <w:bookmarkEnd w:id="6"/>
      <w:r w:rsidRPr="009D62F0">
        <w:t xml:space="preserve">voor de daarin beschreven ( WKO-systemen heeft het recht om gedurende de looptijd van de </w:t>
      </w:r>
      <w:proofErr w:type="spellStart"/>
      <w:r w:rsidRPr="009D62F0">
        <w:t>Biowasmachine</w:t>
      </w:r>
      <w:proofErr w:type="spellEnd"/>
      <w:r w:rsidRPr="009D62F0">
        <w:t xml:space="preserve"> de gemelde WKO voor zover deze overeenkomst niet anders bepaalt</w:t>
      </w:r>
      <w:r w:rsidR="004D0C58" w:rsidRPr="009D62F0">
        <w:t xml:space="preserve"> </w:t>
      </w:r>
      <w:r w:rsidRPr="009D62F0">
        <w:t xml:space="preserve">voor eigen rekening en risico conform protocol (bijlage 2) en meldingsformulier (bijlage 3) activiteiten te melden en uit te voeren in het fase 1 gebied zoals aangeduid in de </w:t>
      </w:r>
      <w:proofErr w:type="spellStart"/>
      <w:r w:rsidR="00F556E1">
        <w:t>Bi</w:t>
      </w:r>
      <w:r w:rsidRPr="009D62F0">
        <w:t>owasmachinebeschikking</w:t>
      </w:r>
      <w:proofErr w:type="spellEnd"/>
      <w:r w:rsidRPr="009D62F0">
        <w:t xml:space="preserve"> ten behoeve van de registergoederen (inclusief eventuele beperkte zakelijke rechten) in het stationsgebied, die de partij bij het aangaan van deze overeenkomst in eigendom of erfpacht heeft, in eigendom of erfpacht zal verkrijgen of zal overdragen in het kader van door partijen met Gemeente gesloten </w:t>
      </w:r>
      <w:r w:rsidR="009D62F0">
        <w:t>O</w:t>
      </w:r>
      <w:r w:rsidRPr="009D62F0">
        <w:t>ntwikkel</w:t>
      </w:r>
      <w:r w:rsidR="009D62F0">
        <w:t>o</w:t>
      </w:r>
      <w:r w:rsidRPr="009D62F0">
        <w:t xml:space="preserve">vereenkomst voor ontwikkelingen in het programma stationsgebied. </w:t>
      </w:r>
    </w:p>
    <w:p w:rsidR="00B248E1" w:rsidRPr="009D62F0" w:rsidRDefault="00B248E1" w:rsidP="009D62F0">
      <w:pPr>
        <w:ind w:firstLine="360"/>
      </w:pPr>
    </w:p>
    <w:p w:rsidR="00945F92" w:rsidRPr="009D62F0" w:rsidRDefault="00B248E1" w:rsidP="009D62F0">
      <w:pPr>
        <w:ind w:left="360"/>
      </w:pPr>
      <w:r w:rsidRPr="009D62F0">
        <w:t xml:space="preserve">2.2 </w:t>
      </w:r>
      <w:r w:rsidR="008857D2" w:rsidRPr="009D62F0">
        <w:t xml:space="preserve">Indien </w:t>
      </w:r>
      <w:r w:rsidRPr="009D62F0">
        <w:t xml:space="preserve">bronlocaties en leidingen van </w:t>
      </w:r>
      <w:r w:rsidR="008857D2" w:rsidRPr="009D62F0">
        <w:t xml:space="preserve">het </w:t>
      </w:r>
      <w:r w:rsidRPr="009D62F0">
        <w:t xml:space="preserve">WKO-systemen in het openbare gebied </w:t>
      </w:r>
      <w:r w:rsidR="008857D2" w:rsidRPr="009D62F0">
        <w:t xml:space="preserve">gelegen zijn </w:t>
      </w:r>
      <w:r w:rsidR="0095335D" w:rsidRPr="009D62F0">
        <w:t xml:space="preserve">of in de toekomst komen te liggen </w:t>
      </w:r>
      <w:r w:rsidRPr="009D62F0">
        <w:t xml:space="preserve">zullen partijen </w:t>
      </w:r>
      <w:r w:rsidR="008857D2" w:rsidRPr="009D62F0">
        <w:t>hiervoor</w:t>
      </w:r>
      <w:r w:rsidRPr="009D62F0">
        <w:t xml:space="preserve"> een opstalovereenkomst sluiten. Partijen zullen de definitieve bronlocaties </w:t>
      </w:r>
      <w:r w:rsidR="008857D2" w:rsidRPr="009D62F0">
        <w:t xml:space="preserve">en ligging van de leidingen </w:t>
      </w:r>
      <w:r w:rsidRPr="009D62F0">
        <w:t xml:space="preserve">vaststellen in het kader van de opstalovereenkomst. De opstalovereenkomst wordt aangegaan voor de duur van dertig jaar. </w:t>
      </w:r>
    </w:p>
    <w:p w:rsidR="00B248E1" w:rsidRPr="009D62F0" w:rsidRDefault="00B248E1" w:rsidP="009D62F0">
      <w:pPr>
        <w:ind w:firstLine="360"/>
      </w:pPr>
    </w:p>
    <w:p w:rsidR="00B248E1" w:rsidRPr="009D62F0" w:rsidRDefault="00945F92" w:rsidP="009D62F0">
      <w:pPr>
        <w:ind w:firstLine="360"/>
      </w:pPr>
      <w:r w:rsidRPr="009D62F0">
        <w:lastRenderedPageBreak/>
        <w:t>Artikel 3</w:t>
      </w:r>
      <w:r w:rsidR="00B248E1" w:rsidRPr="009D62F0">
        <w:t xml:space="preserve"> Inwerkingtreding en looptijd</w:t>
      </w:r>
    </w:p>
    <w:p w:rsidR="00B248E1" w:rsidRPr="009D62F0" w:rsidRDefault="00B248E1" w:rsidP="009D62F0">
      <w:pPr>
        <w:ind w:firstLine="360"/>
      </w:pPr>
    </w:p>
    <w:p w:rsidR="00B248E1" w:rsidRPr="009D62F0" w:rsidRDefault="00945F92" w:rsidP="009D62F0">
      <w:pPr>
        <w:ind w:left="360"/>
      </w:pPr>
      <w:r w:rsidRPr="009D62F0">
        <w:t>3</w:t>
      </w:r>
      <w:r w:rsidR="00B248E1" w:rsidRPr="009D62F0">
        <w:t>.1. Deze overeenkomst treedt in werking op de dag waarop zij door of namens alle partijen is ondertekend en eindigt uiterlijk op de datum waa</w:t>
      </w:r>
      <w:r w:rsidR="00573B2B" w:rsidRPr="009D62F0">
        <w:t xml:space="preserve">rop de </w:t>
      </w:r>
      <w:proofErr w:type="spellStart"/>
      <w:r w:rsidR="00F556E1">
        <w:t>B</w:t>
      </w:r>
      <w:r w:rsidR="00573B2B" w:rsidRPr="009D62F0">
        <w:t>iowasmachinebeschikking</w:t>
      </w:r>
      <w:proofErr w:type="spellEnd"/>
      <w:r w:rsidR="00573B2B" w:rsidRPr="009D62F0">
        <w:t xml:space="preserve"> </w:t>
      </w:r>
      <w:r w:rsidR="00B248E1" w:rsidRPr="009D62F0">
        <w:t>eindigt, dan wel de uiterlijk datum waarop het opstalrecht op basis van een opstalovereenkomst eindigt.</w:t>
      </w:r>
    </w:p>
    <w:p w:rsidR="00B248E1" w:rsidRPr="009D62F0" w:rsidRDefault="00B248E1" w:rsidP="009D62F0">
      <w:pPr>
        <w:ind w:firstLine="360"/>
      </w:pPr>
    </w:p>
    <w:p w:rsidR="00B248E1" w:rsidRPr="009D62F0" w:rsidRDefault="00B248E1" w:rsidP="009D62F0">
      <w:pPr>
        <w:ind w:firstLine="360"/>
      </w:pPr>
    </w:p>
    <w:p w:rsidR="00B248E1" w:rsidRPr="009D62F0" w:rsidRDefault="00B248E1" w:rsidP="009D62F0">
      <w:pPr>
        <w:ind w:firstLine="360"/>
      </w:pPr>
      <w:r w:rsidRPr="009D62F0">
        <w:t>Deze overeenkomst is in twe</w:t>
      </w:r>
      <w:r w:rsidR="00CF010D" w:rsidRPr="009D62F0">
        <w:t>e</w:t>
      </w:r>
      <w:r w:rsidRPr="009D62F0">
        <w:t xml:space="preserve">voud opgemaakt en getekend te Utrecht op….(maand, jaar) </w:t>
      </w:r>
    </w:p>
    <w:p w:rsidR="00B248E1" w:rsidRPr="009D62F0" w:rsidRDefault="00B248E1" w:rsidP="009D62F0">
      <w:pPr>
        <w:ind w:firstLine="360"/>
      </w:pPr>
    </w:p>
    <w:p w:rsidR="00B248E1" w:rsidRPr="009D62F0" w:rsidRDefault="00B248E1" w:rsidP="009D62F0">
      <w:pPr>
        <w:ind w:firstLine="360"/>
      </w:pPr>
      <w:r w:rsidRPr="009D62F0">
        <w:t>DE GEMEENTE UTRECHT</w:t>
      </w:r>
    </w:p>
    <w:p w:rsidR="00B248E1" w:rsidRPr="009D62F0" w:rsidRDefault="00B248E1" w:rsidP="009D62F0">
      <w:pPr>
        <w:ind w:firstLine="360"/>
      </w:pPr>
    </w:p>
    <w:p w:rsidR="00B248E1" w:rsidRPr="009D62F0" w:rsidRDefault="00B248E1" w:rsidP="009D62F0">
      <w:pPr>
        <w:ind w:firstLine="360"/>
      </w:pPr>
      <w:r w:rsidRPr="009D62F0">
        <w:t>…………………………………………………………………………………………...</w:t>
      </w:r>
    </w:p>
    <w:p w:rsidR="00B248E1" w:rsidRPr="009D62F0" w:rsidRDefault="009D62F0" w:rsidP="009D62F0">
      <w:pPr>
        <w:ind w:firstLine="360"/>
      </w:pPr>
      <w:r>
        <w:t>@</w:t>
      </w:r>
    </w:p>
    <w:p w:rsidR="00B248E1" w:rsidRPr="009D62F0" w:rsidRDefault="00B248E1" w:rsidP="009D62F0">
      <w:pPr>
        <w:ind w:firstLine="360"/>
      </w:pPr>
    </w:p>
    <w:p w:rsidR="00B248E1" w:rsidRPr="009D62F0" w:rsidRDefault="009B3E7C" w:rsidP="009D62F0">
      <w:pPr>
        <w:ind w:firstLine="360"/>
      </w:pPr>
      <w:r w:rsidRPr="009D62F0">
        <w:t>JAARBEURS</w:t>
      </w:r>
    </w:p>
    <w:p w:rsidR="00945F92" w:rsidRPr="009D62F0" w:rsidRDefault="00945F92" w:rsidP="009D62F0">
      <w:pPr>
        <w:ind w:firstLine="360"/>
      </w:pPr>
    </w:p>
    <w:p w:rsidR="00945F92" w:rsidRPr="009D62F0" w:rsidRDefault="00945F92" w:rsidP="009D62F0">
      <w:pPr>
        <w:ind w:firstLine="360"/>
      </w:pPr>
      <w:r w:rsidRPr="009D62F0">
        <w:t>…………………………………………………………………………………………...</w:t>
      </w:r>
    </w:p>
    <w:p w:rsidR="00945F92" w:rsidRPr="009D62F0" w:rsidRDefault="009B3E7C" w:rsidP="009D62F0">
      <w:pPr>
        <w:ind w:firstLine="360"/>
      </w:pPr>
      <w:r w:rsidRPr="009D62F0">
        <w:t>de heer H.W. Broeders</w:t>
      </w:r>
    </w:p>
    <w:p w:rsidR="00B248E1" w:rsidRPr="009D62F0" w:rsidRDefault="00B248E1" w:rsidP="009D62F0">
      <w:pPr>
        <w:ind w:firstLine="360"/>
      </w:pPr>
    </w:p>
    <w:p w:rsidR="00B248E1" w:rsidRPr="009D62F0" w:rsidRDefault="00B248E1" w:rsidP="009D62F0">
      <w:pPr>
        <w:ind w:firstLine="360"/>
      </w:pPr>
    </w:p>
    <w:p w:rsidR="00B248E1" w:rsidRPr="009D62F0" w:rsidRDefault="00B248E1" w:rsidP="009D62F0">
      <w:pPr>
        <w:ind w:firstLine="360"/>
      </w:pPr>
    </w:p>
    <w:p w:rsidR="00B248E1" w:rsidRPr="009D62F0" w:rsidRDefault="00B248E1" w:rsidP="009D62F0">
      <w:pPr>
        <w:ind w:firstLine="360"/>
      </w:pPr>
    </w:p>
    <w:p w:rsidR="00B248E1" w:rsidRPr="009D62F0" w:rsidRDefault="00B248E1" w:rsidP="009D62F0">
      <w:pPr>
        <w:ind w:firstLine="360"/>
      </w:pPr>
    </w:p>
    <w:p w:rsidR="00B248E1" w:rsidRPr="009D62F0" w:rsidRDefault="00B248E1" w:rsidP="009D62F0">
      <w:pPr>
        <w:ind w:firstLine="360"/>
      </w:pPr>
    </w:p>
    <w:p w:rsidR="00B248E1" w:rsidRDefault="00600B36" w:rsidP="009D62F0">
      <w:pPr>
        <w:ind w:firstLine="360"/>
      </w:pPr>
      <w:r>
        <w:t>Bijlagen:</w:t>
      </w:r>
    </w:p>
    <w:p w:rsidR="00600B36" w:rsidRPr="009D62F0" w:rsidRDefault="00600B36" w:rsidP="009D62F0">
      <w:pPr>
        <w:ind w:firstLine="360"/>
      </w:pPr>
      <w:bookmarkStart w:id="7" w:name="_GoBack"/>
      <w:bookmarkEnd w:id="7"/>
    </w:p>
    <w:p w:rsidR="00B248E1" w:rsidRPr="00600B36" w:rsidRDefault="00B248E1" w:rsidP="00600B36">
      <w:pPr>
        <w:pStyle w:val="Lijstalinea"/>
        <w:numPr>
          <w:ilvl w:val="0"/>
          <w:numId w:val="7"/>
        </w:numPr>
        <w:rPr>
          <w:rFonts w:ascii="Lucida Sans Unicode" w:eastAsia="Times New Roman" w:hAnsi="Lucida Sans Unicode" w:cs="Lucida Sans Unicode"/>
          <w:sz w:val="18"/>
          <w:szCs w:val="18"/>
          <w:lang w:val="nl-NL" w:eastAsia="nl-NL"/>
        </w:rPr>
      </w:pPr>
      <w:r w:rsidRPr="00600B36">
        <w:rPr>
          <w:rFonts w:ascii="Lucida Sans Unicode" w:eastAsia="Times New Roman" w:hAnsi="Lucida Sans Unicode" w:cs="Lucida Sans Unicode"/>
          <w:sz w:val="18"/>
          <w:szCs w:val="18"/>
          <w:lang w:val="nl-NL" w:eastAsia="nl-NL"/>
        </w:rPr>
        <w:t xml:space="preserve">Beschikking </w:t>
      </w:r>
      <w:proofErr w:type="spellStart"/>
      <w:r w:rsidR="00F556E1" w:rsidRPr="00600B36">
        <w:rPr>
          <w:rFonts w:ascii="Lucida Sans Unicode" w:eastAsia="Times New Roman" w:hAnsi="Lucida Sans Unicode" w:cs="Lucida Sans Unicode"/>
          <w:sz w:val="18"/>
          <w:szCs w:val="18"/>
          <w:lang w:val="nl-NL" w:eastAsia="nl-NL"/>
        </w:rPr>
        <w:t>B</w:t>
      </w:r>
      <w:r w:rsidRPr="00600B36">
        <w:rPr>
          <w:rFonts w:ascii="Lucida Sans Unicode" w:eastAsia="Times New Roman" w:hAnsi="Lucida Sans Unicode" w:cs="Lucida Sans Unicode"/>
          <w:sz w:val="18"/>
          <w:szCs w:val="18"/>
          <w:lang w:val="nl-NL" w:eastAsia="nl-NL"/>
        </w:rPr>
        <w:t>iowasmachine</w:t>
      </w:r>
      <w:proofErr w:type="spellEnd"/>
    </w:p>
    <w:p w:rsidR="00B248E1" w:rsidRPr="00600B36" w:rsidRDefault="00B248E1" w:rsidP="00600B36">
      <w:pPr>
        <w:pStyle w:val="Lijstalinea"/>
        <w:numPr>
          <w:ilvl w:val="0"/>
          <w:numId w:val="7"/>
        </w:numPr>
        <w:rPr>
          <w:rFonts w:ascii="Lucida Sans Unicode" w:eastAsia="Times New Roman" w:hAnsi="Lucida Sans Unicode" w:cs="Lucida Sans Unicode"/>
          <w:sz w:val="18"/>
          <w:szCs w:val="18"/>
          <w:lang w:val="nl-NL" w:eastAsia="nl-NL"/>
        </w:rPr>
      </w:pPr>
      <w:r w:rsidRPr="00600B36">
        <w:rPr>
          <w:rFonts w:ascii="Lucida Sans Unicode" w:eastAsia="Times New Roman" w:hAnsi="Lucida Sans Unicode" w:cs="Lucida Sans Unicode"/>
          <w:sz w:val="18"/>
          <w:szCs w:val="18"/>
          <w:lang w:val="nl-NL" w:eastAsia="nl-NL"/>
        </w:rPr>
        <w:t>Protocol meldingen</w:t>
      </w:r>
    </w:p>
    <w:p w:rsidR="00B248E1" w:rsidRPr="00600B36" w:rsidRDefault="00B248E1" w:rsidP="00600B36">
      <w:pPr>
        <w:pStyle w:val="Lijstalinea"/>
        <w:numPr>
          <w:ilvl w:val="0"/>
          <w:numId w:val="7"/>
        </w:numPr>
        <w:rPr>
          <w:rFonts w:ascii="Lucida Sans Unicode" w:eastAsia="Times New Roman" w:hAnsi="Lucida Sans Unicode" w:cs="Lucida Sans Unicode"/>
          <w:sz w:val="18"/>
          <w:szCs w:val="18"/>
          <w:lang w:val="nl-NL" w:eastAsia="nl-NL"/>
        </w:rPr>
      </w:pPr>
      <w:r w:rsidRPr="00600B36">
        <w:rPr>
          <w:rFonts w:ascii="Lucida Sans Unicode" w:eastAsia="Times New Roman" w:hAnsi="Lucida Sans Unicode" w:cs="Lucida Sans Unicode"/>
          <w:sz w:val="18"/>
          <w:szCs w:val="18"/>
          <w:lang w:val="nl-NL" w:eastAsia="nl-NL"/>
        </w:rPr>
        <w:t>Meldingsformulier</w:t>
      </w:r>
    </w:p>
    <w:p w:rsidR="00945F92" w:rsidRPr="00600B36" w:rsidRDefault="00945F92" w:rsidP="00600B36">
      <w:pPr>
        <w:pStyle w:val="Lijstalinea"/>
        <w:numPr>
          <w:ilvl w:val="0"/>
          <w:numId w:val="7"/>
        </w:numPr>
        <w:rPr>
          <w:rFonts w:ascii="Lucida Sans Unicode" w:eastAsia="Times New Roman" w:hAnsi="Lucida Sans Unicode" w:cs="Lucida Sans Unicode"/>
          <w:sz w:val="18"/>
          <w:szCs w:val="18"/>
          <w:lang w:val="nl-NL" w:eastAsia="nl-NL"/>
        </w:rPr>
      </w:pPr>
      <w:r w:rsidRPr="00600B36">
        <w:rPr>
          <w:rFonts w:ascii="Lucida Sans Unicode" w:eastAsia="Times New Roman" w:hAnsi="Lucida Sans Unicode" w:cs="Lucida Sans Unicode"/>
          <w:sz w:val="18"/>
          <w:szCs w:val="18"/>
          <w:lang w:val="nl-NL" w:eastAsia="nl-NL"/>
        </w:rPr>
        <w:t>Kaart met globale positie WKO-bronnen</w:t>
      </w:r>
    </w:p>
    <w:p w:rsidR="00B248E1" w:rsidRPr="009D62F0" w:rsidRDefault="00B248E1" w:rsidP="009D62F0">
      <w:pPr>
        <w:ind w:firstLine="360"/>
      </w:pPr>
    </w:p>
    <w:sectPr w:rsidR="00B248E1" w:rsidRPr="009D62F0" w:rsidSect="002A06F6">
      <w:pgSz w:w="11907" w:h="16840" w:code="9"/>
      <w:pgMar w:top="1418" w:right="1418" w:bottom="567" w:left="1418" w:header="567" w:footer="482" w:gutter="0"/>
      <w:cols w:space="708"/>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A6F"/>
    <w:multiLevelType w:val="hybridMultilevel"/>
    <w:tmpl w:val="957C5A4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5CC5CC0"/>
    <w:multiLevelType w:val="hybridMultilevel"/>
    <w:tmpl w:val="0A0CD3B2"/>
    <w:lvl w:ilvl="0" w:tplc="0413000F">
      <w:start w:val="1"/>
      <w:numFmt w:val="decimal"/>
      <w:lvlText w:val="%1."/>
      <w:lvlJc w:val="left"/>
      <w:pPr>
        <w:ind w:left="0" w:hanging="360"/>
      </w:pPr>
    </w:lvl>
    <w:lvl w:ilvl="1" w:tplc="04130019">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
    <w:nsid w:val="20F91760"/>
    <w:multiLevelType w:val="hybridMultilevel"/>
    <w:tmpl w:val="C05860F4"/>
    <w:lvl w:ilvl="0" w:tplc="C31C9C68">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
    <w:nsid w:val="324B1A37"/>
    <w:multiLevelType w:val="hybridMultilevel"/>
    <w:tmpl w:val="3FE826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5">
    <w:nsid w:val="3F0C67C5"/>
    <w:multiLevelType w:val="hybridMultilevel"/>
    <w:tmpl w:val="746A9AF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nsid w:val="5B4C34CC"/>
    <w:multiLevelType w:val="hybridMultilevel"/>
    <w:tmpl w:val="8B0CCEE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9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U_eerste_bak" w:val="1"/>
    <w:docVar w:name="GU_overige_bak" w:val="1"/>
    <w:docVar w:name="GU_Versie" w:val="1"/>
  </w:docVars>
  <w:rsids>
    <w:rsidRoot w:val="00AC1682"/>
    <w:rsid w:val="0000379E"/>
    <w:rsid w:val="00005090"/>
    <w:rsid w:val="00010A55"/>
    <w:rsid w:val="00011C54"/>
    <w:rsid w:val="00015E2A"/>
    <w:rsid w:val="0002074C"/>
    <w:rsid w:val="000509F4"/>
    <w:rsid w:val="00052851"/>
    <w:rsid w:val="00054E4C"/>
    <w:rsid w:val="00055EDD"/>
    <w:rsid w:val="000A3D2D"/>
    <w:rsid w:val="000B102B"/>
    <w:rsid w:val="000E117C"/>
    <w:rsid w:val="000F3CB9"/>
    <w:rsid w:val="000F7FB9"/>
    <w:rsid w:val="00101CF3"/>
    <w:rsid w:val="001225C4"/>
    <w:rsid w:val="00145BC3"/>
    <w:rsid w:val="00155FCE"/>
    <w:rsid w:val="00177B7E"/>
    <w:rsid w:val="00192758"/>
    <w:rsid w:val="001933C5"/>
    <w:rsid w:val="001957F1"/>
    <w:rsid w:val="001A5AB0"/>
    <w:rsid w:val="001A5B99"/>
    <w:rsid w:val="001C5A6C"/>
    <w:rsid w:val="001C7038"/>
    <w:rsid w:val="002038D0"/>
    <w:rsid w:val="00230B0D"/>
    <w:rsid w:val="002448FE"/>
    <w:rsid w:val="00245777"/>
    <w:rsid w:val="00251293"/>
    <w:rsid w:val="00252DC9"/>
    <w:rsid w:val="00256104"/>
    <w:rsid w:val="00281165"/>
    <w:rsid w:val="002A06F6"/>
    <w:rsid w:val="002B2A65"/>
    <w:rsid w:val="002B5870"/>
    <w:rsid w:val="002B69C7"/>
    <w:rsid w:val="002D1619"/>
    <w:rsid w:val="002D7AC1"/>
    <w:rsid w:val="002E21FD"/>
    <w:rsid w:val="003129EF"/>
    <w:rsid w:val="00327C39"/>
    <w:rsid w:val="00347B8C"/>
    <w:rsid w:val="003626C0"/>
    <w:rsid w:val="00366CBA"/>
    <w:rsid w:val="00376755"/>
    <w:rsid w:val="003768F4"/>
    <w:rsid w:val="00381DA4"/>
    <w:rsid w:val="00396338"/>
    <w:rsid w:val="003B622E"/>
    <w:rsid w:val="003C4175"/>
    <w:rsid w:val="003C5B14"/>
    <w:rsid w:val="003F1ED3"/>
    <w:rsid w:val="003F7551"/>
    <w:rsid w:val="00403810"/>
    <w:rsid w:val="004172D0"/>
    <w:rsid w:val="004323AE"/>
    <w:rsid w:val="00433C7E"/>
    <w:rsid w:val="0043674C"/>
    <w:rsid w:val="00445379"/>
    <w:rsid w:val="00451EB8"/>
    <w:rsid w:val="0045697D"/>
    <w:rsid w:val="00467A84"/>
    <w:rsid w:val="00473B35"/>
    <w:rsid w:val="004751A3"/>
    <w:rsid w:val="004901AA"/>
    <w:rsid w:val="00492437"/>
    <w:rsid w:val="00492E76"/>
    <w:rsid w:val="004A18A6"/>
    <w:rsid w:val="004A485C"/>
    <w:rsid w:val="004A7B62"/>
    <w:rsid w:val="004B55E1"/>
    <w:rsid w:val="004C4D05"/>
    <w:rsid w:val="004D0C58"/>
    <w:rsid w:val="004E145D"/>
    <w:rsid w:val="004E4D27"/>
    <w:rsid w:val="00501C2A"/>
    <w:rsid w:val="00526C8A"/>
    <w:rsid w:val="00567362"/>
    <w:rsid w:val="00573B2B"/>
    <w:rsid w:val="005C2E32"/>
    <w:rsid w:val="005E0405"/>
    <w:rsid w:val="00600B36"/>
    <w:rsid w:val="00604EE8"/>
    <w:rsid w:val="00610093"/>
    <w:rsid w:val="00622467"/>
    <w:rsid w:val="0062484B"/>
    <w:rsid w:val="00643E8F"/>
    <w:rsid w:val="00650000"/>
    <w:rsid w:val="00654F8B"/>
    <w:rsid w:val="00683FAF"/>
    <w:rsid w:val="00686BF8"/>
    <w:rsid w:val="00687F94"/>
    <w:rsid w:val="006A5733"/>
    <w:rsid w:val="006B58EB"/>
    <w:rsid w:val="006B6224"/>
    <w:rsid w:val="006F6A99"/>
    <w:rsid w:val="0071430E"/>
    <w:rsid w:val="007343F2"/>
    <w:rsid w:val="00741204"/>
    <w:rsid w:val="00745D21"/>
    <w:rsid w:val="00772F16"/>
    <w:rsid w:val="0077556C"/>
    <w:rsid w:val="00783ED5"/>
    <w:rsid w:val="007847A4"/>
    <w:rsid w:val="00790814"/>
    <w:rsid w:val="007C0197"/>
    <w:rsid w:val="007D0AFA"/>
    <w:rsid w:val="007E5394"/>
    <w:rsid w:val="00813CC9"/>
    <w:rsid w:val="008200EB"/>
    <w:rsid w:val="0082560F"/>
    <w:rsid w:val="00827B88"/>
    <w:rsid w:val="008701CF"/>
    <w:rsid w:val="008857D2"/>
    <w:rsid w:val="00893E41"/>
    <w:rsid w:val="00893EA5"/>
    <w:rsid w:val="008C46DD"/>
    <w:rsid w:val="008D3817"/>
    <w:rsid w:val="008E2E5C"/>
    <w:rsid w:val="00914C02"/>
    <w:rsid w:val="0093464A"/>
    <w:rsid w:val="00945CCA"/>
    <w:rsid w:val="00945F92"/>
    <w:rsid w:val="0095335D"/>
    <w:rsid w:val="009748B8"/>
    <w:rsid w:val="00986328"/>
    <w:rsid w:val="009A16C3"/>
    <w:rsid w:val="009B3E7C"/>
    <w:rsid w:val="009C75D1"/>
    <w:rsid w:val="009D62F0"/>
    <w:rsid w:val="009F277A"/>
    <w:rsid w:val="009F74C6"/>
    <w:rsid w:val="009F750F"/>
    <w:rsid w:val="00A01B09"/>
    <w:rsid w:val="00A1122E"/>
    <w:rsid w:val="00A31DAE"/>
    <w:rsid w:val="00A350DF"/>
    <w:rsid w:val="00A450AD"/>
    <w:rsid w:val="00A61FBB"/>
    <w:rsid w:val="00A644FD"/>
    <w:rsid w:val="00A66F4F"/>
    <w:rsid w:val="00A80094"/>
    <w:rsid w:val="00AA4409"/>
    <w:rsid w:val="00AC1682"/>
    <w:rsid w:val="00AC202A"/>
    <w:rsid w:val="00AF01FD"/>
    <w:rsid w:val="00AF3E95"/>
    <w:rsid w:val="00B01CB8"/>
    <w:rsid w:val="00B12649"/>
    <w:rsid w:val="00B22F78"/>
    <w:rsid w:val="00B248E1"/>
    <w:rsid w:val="00B2654D"/>
    <w:rsid w:val="00B41264"/>
    <w:rsid w:val="00B56085"/>
    <w:rsid w:val="00B6782E"/>
    <w:rsid w:val="00B7428C"/>
    <w:rsid w:val="00B81A8E"/>
    <w:rsid w:val="00BA1241"/>
    <w:rsid w:val="00BA2FF8"/>
    <w:rsid w:val="00BC3A13"/>
    <w:rsid w:val="00BD0AE1"/>
    <w:rsid w:val="00BD71C7"/>
    <w:rsid w:val="00BF532F"/>
    <w:rsid w:val="00C145D2"/>
    <w:rsid w:val="00C14909"/>
    <w:rsid w:val="00C43486"/>
    <w:rsid w:val="00C500C7"/>
    <w:rsid w:val="00C57ACA"/>
    <w:rsid w:val="00C76E7B"/>
    <w:rsid w:val="00C80983"/>
    <w:rsid w:val="00CA10CD"/>
    <w:rsid w:val="00CA2879"/>
    <w:rsid w:val="00CB778A"/>
    <w:rsid w:val="00CC03E2"/>
    <w:rsid w:val="00CD0E4C"/>
    <w:rsid w:val="00CD79B9"/>
    <w:rsid w:val="00CE691D"/>
    <w:rsid w:val="00CF010D"/>
    <w:rsid w:val="00D10DFF"/>
    <w:rsid w:val="00D20130"/>
    <w:rsid w:val="00D22B53"/>
    <w:rsid w:val="00D2484E"/>
    <w:rsid w:val="00D52150"/>
    <w:rsid w:val="00D61683"/>
    <w:rsid w:val="00D66669"/>
    <w:rsid w:val="00D76893"/>
    <w:rsid w:val="00D82173"/>
    <w:rsid w:val="00D8481C"/>
    <w:rsid w:val="00D868C9"/>
    <w:rsid w:val="00D92F7E"/>
    <w:rsid w:val="00DE5896"/>
    <w:rsid w:val="00E040ED"/>
    <w:rsid w:val="00E0733D"/>
    <w:rsid w:val="00E259E5"/>
    <w:rsid w:val="00E27E64"/>
    <w:rsid w:val="00E30223"/>
    <w:rsid w:val="00E32109"/>
    <w:rsid w:val="00E60531"/>
    <w:rsid w:val="00E717E6"/>
    <w:rsid w:val="00E71B4D"/>
    <w:rsid w:val="00E724B9"/>
    <w:rsid w:val="00E83652"/>
    <w:rsid w:val="00E916B3"/>
    <w:rsid w:val="00EA1BBB"/>
    <w:rsid w:val="00EA76B6"/>
    <w:rsid w:val="00EB24FE"/>
    <w:rsid w:val="00EB564A"/>
    <w:rsid w:val="00ED7EE8"/>
    <w:rsid w:val="00EE2567"/>
    <w:rsid w:val="00EE70AA"/>
    <w:rsid w:val="00F040D9"/>
    <w:rsid w:val="00F101CA"/>
    <w:rsid w:val="00F10342"/>
    <w:rsid w:val="00F254ED"/>
    <w:rsid w:val="00F33C44"/>
    <w:rsid w:val="00F34AA1"/>
    <w:rsid w:val="00F556E1"/>
    <w:rsid w:val="00F70891"/>
    <w:rsid w:val="00F75FC4"/>
    <w:rsid w:val="00F76C6C"/>
    <w:rsid w:val="00F8542C"/>
    <w:rsid w:val="00FA377A"/>
    <w:rsid w:val="00FA6B0F"/>
    <w:rsid w:val="00FA77E2"/>
    <w:rsid w:val="00FB19E6"/>
    <w:rsid w:val="00FC289C"/>
    <w:rsid w:val="00FC41F4"/>
    <w:rsid w:val="00FF09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List 3"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1682"/>
    <w:pPr>
      <w:spacing w:line="240" w:lineRule="atLeast"/>
    </w:pPr>
    <w:rPr>
      <w:rFonts w:ascii="Lucida Sans Unicode" w:eastAsia="Times New Roman" w:hAnsi="Lucida Sans Unicode" w:cs="Lucida Sans Unicode"/>
      <w:sz w:val="18"/>
      <w:szCs w:val="18"/>
    </w:rPr>
  </w:style>
  <w:style w:type="paragraph" w:styleId="Kop3">
    <w:name w:val="heading 3"/>
    <w:basedOn w:val="Standaard"/>
    <w:next w:val="Standaard"/>
    <w:link w:val="Kop3Char"/>
    <w:uiPriority w:val="99"/>
    <w:qFormat/>
    <w:rsid w:val="00AC1682"/>
    <w:pPr>
      <w:keepNext/>
      <w:keepLines/>
      <w:spacing w:before="240"/>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locked/>
    <w:rsid w:val="00AC1682"/>
    <w:rPr>
      <w:rFonts w:ascii="Lucida Sans Unicode" w:hAnsi="Lucida Sans Unicode" w:cs="Lucida Sans Unicode"/>
      <w:b/>
      <w:bCs/>
      <w:sz w:val="20"/>
      <w:szCs w:val="20"/>
      <w:lang w:eastAsia="nl-NL"/>
    </w:rPr>
  </w:style>
  <w:style w:type="paragraph" w:styleId="Ballontekst">
    <w:name w:val="Balloon Text"/>
    <w:basedOn w:val="Standaard"/>
    <w:link w:val="BallontekstChar"/>
    <w:uiPriority w:val="99"/>
    <w:semiHidden/>
    <w:rsid w:val="00D6666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66669"/>
    <w:rPr>
      <w:rFonts w:ascii="Tahoma" w:hAnsi="Tahoma" w:cs="Tahoma"/>
      <w:sz w:val="16"/>
      <w:szCs w:val="16"/>
      <w:lang w:eastAsia="nl-NL"/>
    </w:rPr>
  </w:style>
  <w:style w:type="paragraph" w:styleId="Lijst">
    <w:name w:val="List"/>
    <w:basedOn w:val="Standaard"/>
    <w:uiPriority w:val="99"/>
    <w:rsid w:val="00AC1682"/>
    <w:pPr>
      <w:ind w:left="284" w:hanging="284"/>
    </w:pPr>
  </w:style>
  <w:style w:type="paragraph" w:styleId="Lijst3">
    <w:name w:val="List 3"/>
    <w:basedOn w:val="Standaard"/>
    <w:uiPriority w:val="99"/>
    <w:rsid w:val="00AC1682"/>
    <w:pPr>
      <w:numPr>
        <w:numId w:val="1"/>
      </w:numPr>
      <w:ind w:left="851"/>
    </w:pPr>
  </w:style>
  <w:style w:type="paragraph" w:customStyle="1" w:styleId="Alineanummering1">
    <w:name w:val="Alineanummering 1"/>
    <w:basedOn w:val="Standaard"/>
    <w:next w:val="Standaard"/>
    <w:uiPriority w:val="99"/>
    <w:rsid w:val="00AC1682"/>
    <w:pPr>
      <w:tabs>
        <w:tab w:val="left" w:pos="0"/>
      </w:tabs>
      <w:spacing w:line="300" w:lineRule="atLeast"/>
      <w:ind w:hanging="851"/>
    </w:pPr>
    <w:rPr>
      <w:rFonts w:ascii="Verdana" w:hAnsi="Verdana" w:cs="Verdana"/>
      <w:lang w:eastAsia="en-US"/>
    </w:rPr>
  </w:style>
  <w:style w:type="character" w:styleId="Verwijzingopmerking">
    <w:name w:val="annotation reference"/>
    <w:basedOn w:val="Standaardalinea-lettertype"/>
    <w:uiPriority w:val="99"/>
    <w:semiHidden/>
    <w:rsid w:val="004A7B62"/>
    <w:rPr>
      <w:sz w:val="16"/>
      <w:szCs w:val="16"/>
    </w:rPr>
  </w:style>
  <w:style w:type="paragraph" w:styleId="Tekstopmerking">
    <w:name w:val="annotation text"/>
    <w:basedOn w:val="Standaard"/>
    <w:link w:val="TekstopmerkingChar"/>
    <w:uiPriority w:val="99"/>
    <w:semiHidden/>
    <w:rsid w:val="004A7B62"/>
    <w:rPr>
      <w:sz w:val="20"/>
      <w:szCs w:val="20"/>
    </w:rPr>
  </w:style>
  <w:style w:type="character" w:customStyle="1" w:styleId="TekstopmerkingChar">
    <w:name w:val="Tekst opmerking Char"/>
    <w:basedOn w:val="Standaardalinea-lettertype"/>
    <w:link w:val="Tekstopmerking"/>
    <w:uiPriority w:val="99"/>
    <w:semiHidden/>
    <w:locked/>
    <w:rsid w:val="004A7B62"/>
    <w:rPr>
      <w:rFonts w:ascii="Lucida Sans Unicode" w:hAnsi="Lucida Sans Unicode" w:cs="Lucida Sans Unicode"/>
      <w:lang w:val="nl-NL" w:eastAsia="nl-NL"/>
    </w:rPr>
  </w:style>
  <w:style w:type="paragraph" w:styleId="Lijstalinea">
    <w:name w:val="List Paragraph"/>
    <w:basedOn w:val="Standaard"/>
    <w:uiPriority w:val="99"/>
    <w:qFormat/>
    <w:rsid w:val="00827B88"/>
    <w:pPr>
      <w:spacing w:after="200" w:line="276" w:lineRule="auto"/>
      <w:ind w:left="720"/>
    </w:pPr>
    <w:rPr>
      <w:rFonts w:ascii="Calibri" w:eastAsia="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List 3"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1682"/>
    <w:pPr>
      <w:spacing w:line="240" w:lineRule="atLeast"/>
    </w:pPr>
    <w:rPr>
      <w:rFonts w:ascii="Lucida Sans Unicode" w:eastAsia="Times New Roman" w:hAnsi="Lucida Sans Unicode" w:cs="Lucida Sans Unicode"/>
      <w:sz w:val="18"/>
      <w:szCs w:val="18"/>
    </w:rPr>
  </w:style>
  <w:style w:type="paragraph" w:styleId="Kop3">
    <w:name w:val="heading 3"/>
    <w:basedOn w:val="Standaard"/>
    <w:next w:val="Standaard"/>
    <w:link w:val="Kop3Char"/>
    <w:uiPriority w:val="99"/>
    <w:qFormat/>
    <w:rsid w:val="00AC1682"/>
    <w:pPr>
      <w:keepNext/>
      <w:keepLines/>
      <w:spacing w:before="240"/>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locked/>
    <w:rsid w:val="00AC1682"/>
    <w:rPr>
      <w:rFonts w:ascii="Lucida Sans Unicode" w:hAnsi="Lucida Sans Unicode" w:cs="Lucida Sans Unicode"/>
      <w:b/>
      <w:bCs/>
      <w:sz w:val="20"/>
      <w:szCs w:val="20"/>
      <w:lang w:eastAsia="nl-NL"/>
    </w:rPr>
  </w:style>
  <w:style w:type="paragraph" w:styleId="Ballontekst">
    <w:name w:val="Balloon Text"/>
    <w:basedOn w:val="Standaard"/>
    <w:link w:val="BallontekstChar"/>
    <w:uiPriority w:val="99"/>
    <w:semiHidden/>
    <w:rsid w:val="00D6666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66669"/>
    <w:rPr>
      <w:rFonts w:ascii="Tahoma" w:hAnsi="Tahoma" w:cs="Tahoma"/>
      <w:sz w:val="16"/>
      <w:szCs w:val="16"/>
      <w:lang w:eastAsia="nl-NL"/>
    </w:rPr>
  </w:style>
  <w:style w:type="paragraph" w:styleId="Lijst">
    <w:name w:val="List"/>
    <w:basedOn w:val="Standaard"/>
    <w:uiPriority w:val="99"/>
    <w:rsid w:val="00AC1682"/>
    <w:pPr>
      <w:ind w:left="284" w:hanging="284"/>
    </w:pPr>
  </w:style>
  <w:style w:type="paragraph" w:styleId="Lijst3">
    <w:name w:val="List 3"/>
    <w:basedOn w:val="Standaard"/>
    <w:uiPriority w:val="99"/>
    <w:rsid w:val="00AC1682"/>
    <w:pPr>
      <w:numPr>
        <w:numId w:val="1"/>
      </w:numPr>
      <w:ind w:left="851"/>
    </w:pPr>
  </w:style>
  <w:style w:type="paragraph" w:customStyle="1" w:styleId="Alineanummering1">
    <w:name w:val="Alineanummering 1"/>
    <w:basedOn w:val="Standaard"/>
    <w:next w:val="Standaard"/>
    <w:uiPriority w:val="99"/>
    <w:rsid w:val="00AC1682"/>
    <w:pPr>
      <w:tabs>
        <w:tab w:val="left" w:pos="0"/>
      </w:tabs>
      <w:spacing w:line="300" w:lineRule="atLeast"/>
      <w:ind w:hanging="851"/>
    </w:pPr>
    <w:rPr>
      <w:rFonts w:ascii="Verdana" w:hAnsi="Verdana" w:cs="Verdana"/>
      <w:lang w:eastAsia="en-US"/>
    </w:rPr>
  </w:style>
  <w:style w:type="character" w:styleId="Verwijzingopmerking">
    <w:name w:val="annotation reference"/>
    <w:basedOn w:val="Standaardalinea-lettertype"/>
    <w:uiPriority w:val="99"/>
    <w:semiHidden/>
    <w:rsid w:val="004A7B62"/>
    <w:rPr>
      <w:sz w:val="16"/>
      <w:szCs w:val="16"/>
    </w:rPr>
  </w:style>
  <w:style w:type="paragraph" w:styleId="Tekstopmerking">
    <w:name w:val="annotation text"/>
    <w:basedOn w:val="Standaard"/>
    <w:link w:val="TekstopmerkingChar"/>
    <w:uiPriority w:val="99"/>
    <w:semiHidden/>
    <w:rsid w:val="004A7B62"/>
    <w:rPr>
      <w:sz w:val="20"/>
      <w:szCs w:val="20"/>
    </w:rPr>
  </w:style>
  <w:style w:type="character" w:customStyle="1" w:styleId="TekstopmerkingChar">
    <w:name w:val="Tekst opmerking Char"/>
    <w:basedOn w:val="Standaardalinea-lettertype"/>
    <w:link w:val="Tekstopmerking"/>
    <w:uiPriority w:val="99"/>
    <w:semiHidden/>
    <w:locked/>
    <w:rsid w:val="004A7B62"/>
    <w:rPr>
      <w:rFonts w:ascii="Lucida Sans Unicode" w:hAnsi="Lucida Sans Unicode" w:cs="Lucida Sans Unicode"/>
      <w:lang w:val="nl-NL" w:eastAsia="nl-NL"/>
    </w:rPr>
  </w:style>
  <w:style w:type="paragraph" w:styleId="Lijstalinea">
    <w:name w:val="List Paragraph"/>
    <w:basedOn w:val="Standaard"/>
    <w:uiPriority w:val="99"/>
    <w:qFormat/>
    <w:rsid w:val="00827B88"/>
    <w:pPr>
      <w:spacing w:after="200" w:line="276" w:lineRule="auto"/>
      <w:ind w:left="72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3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FE2C-1CDC-40D3-A91B-3E637FFE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5738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Voorovereenkomst financiële bijdrage biowasmachine Stationsgebied Utrecht</vt:lpstr>
    </vt:vector>
  </TitlesOfParts>
  <Company>Gemeente Utrecht</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Voorovereenkomst financiële bijdrage biowasmachine Stationsgebied Utrecht</dc:title>
  <dc:creator>Schuiringa</dc:creator>
  <cp:lastModifiedBy>Hardeveld, Eveline van</cp:lastModifiedBy>
  <cp:revision>2</cp:revision>
  <cp:lastPrinted>2013-09-18T21:53:00Z</cp:lastPrinted>
  <dcterms:created xsi:type="dcterms:W3CDTF">2015-06-04T11:35:00Z</dcterms:created>
  <dcterms:modified xsi:type="dcterms:W3CDTF">2015-06-04T11:35:00Z</dcterms:modified>
</cp:coreProperties>
</file>